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BaySozBAG (Bayern) — „Staatlich anerkannte Sozialpädagogin“ oder „Staatlich anerkannter Sozialpädagoge“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Berufsbezeichnung „Staatlich anerkannte Sozialpädagogin“ oder „Staatlich anerkannter Sozialpädagoge“ darf führen, wer</w:t>
      </w:r>
    </w:p>
    <w:p>
      <w:r>
        <w:t xml:space="preserve">1. an einer staatlichen oder staatlich anerkannten Hochschule im Freistaat Bayern einen Studiengang nach Abs. 2 erfolgreich abgeschlossen hat und</w:t>
      </w:r>
    </w:p>
    <w:p>
      <w:r>
        <w:t xml:space="preserve">2. sich nicht eines Verhaltens schuldig gemacht hat, aus dem sich die Unzuverlässigkeit zur Ausübung des Berufs ergibt, insbesondere nicht rechtskräftig wegen einer in § 72a des Achten Buches Sozialgesetzbuch (SGB VIII) genannten Straftat verurteilt worden ist.</w:t>
      </w:r>
    </w:p>
    <w:p>
      <w:r>
        <w:t xml:space="preserve">Dem erfolgreichen Abschluss nach Satz 1 Nr. 1 steht der Erwerb der Berechtigung zum Führen der Berufsbezeichnung in einem anderen Land gleich.</w:t>
      </w:r>
    </w:p>
    <w:p>
      <w:r>
        <w:t xml:space="preserve">(2) Ein Bachelorstudiengang qualifiziert für die Tätigkeit als Sozialpädagogin oder Sozialpädagoge, wenn er</w:t>
      </w:r>
    </w:p>
    <w:p>
      <w:r>
        <w:t xml:space="preserve">1. die für die Tätigkeit notwendigen Kompetenzen vermittelt,</w:t>
      </w:r>
    </w:p>
    <w:p>
      <w:r>
        <w:t xml:space="preserve">2. Schwerpunkte setzt beim Erwerb von</w:t>
      </w:r>
    </w:p>
    <w:p>
      <w:r>
        <w:t xml:space="preserve">a) Wissen und Verständnis der allgemeinen wissenschaftlichen Grundlagen und Methoden der Sozialen Arbeit und eines exemplarischen Lernfelds,</w:t>
      </w:r>
    </w:p>
    <w:p>
      <w:r>
        <w:t xml:space="preserve">b) systematischen Kenntnissen wichtiger Theorien, Modelle und Methoden der Sozialen Arbeit im nationalen und internationalen Rahmen,</w:t>
      </w:r>
    </w:p>
    <w:p>
      <w:r>
        <w:t xml:space="preserve">c) kritischem Verständnis für Schlüsselprobleme und Konzepte eines Spezialgebiets der Sozialen Arbeit im Allgemeinen,</w:t>
      </w:r>
    </w:p>
    <w:p>
      <w:r>
        <w:t xml:space="preserve">d) einem integrierten Verständnis der Methoden, Verfahrensweisen und der beruflichen Ethik von Sozialer Arbeit auf dem Hintergrund reflektierter Erfahrung, methodischen Handelns und auf dem aktuellen Stand der Fachliteratur,</w:t>
      </w:r>
    </w:p>
    <w:p>
      <w:r>
        <w:t xml:space="preserve">e) exemplarischen Einblicken und ausgewählten vertieften aktuellen Kenntnissen in einem Forschungs- und Entwicklungsgebiet der Sozialen Arbeit,</w:t>
      </w:r>
    </w:p>
    <w:p>
      <w:r>
        <w:t xml:space="preserve">f) kritischem Bewusstsein für den umfassenden fachübergreifenden Zusammenhang und</w:t>
      </w:r>
    </w:p>
    <w:p>
      <w:r>
        <w:t xml:space="preserve">g) Erfahrungen der kritischen Reflexion erworbenen Fachwissens unter den Bedingungen angeleiteter Praxis,</w:t>
      </w:r>
    </w:p>
    <w:p>
      <w:r>
        <w:t xml:space="preserve">3. ausgewiesene Kenntnisse zu den geltenden Grundlagen, insbesondere den für die Soziale Arbeit bedeutsamen deutschen Rechtsgebieten mit Vertiefung auf Landesebene sowie Kenntnisse für die Verwaltung vermittelt,</w:t>
      </w:r>
    </w:p>
    <w:p>
      <w:r>
        <w:t xml:space="preserve">4. eine Regelstudienzeit von mindestens sieben Semestern umfasst und</w:t>
      </w:r>
    </w:p>
    <w:p>
      <w:r>
        <w:t xml:space="preserve">5. ein angeleitetes praktisches Studiensemester an einer von der Hochschule anerkannten, fachlich ausgewiesenen Einrichtung der Sozialen Arbeit im Umfang von mindestens 100 Tagen eingliedert.</w:t>
      </w:r>
    </w:p>
    <w:p>
      <w:r>
        <w:t xml:space="preserve">Auf Antrag der den Studiengang anbietenden Hochschule wird durch Allgemeinverfügung festgestellt, ob ein Studiengang die Voraussetzungen nach Satz 1 erfüllt.</w:t>
      </w:r>
    </w:p>
    <w:p>
      <w:r>
        <w:t xml:space="preserve">(3) Die staatliche Anerkennung darf in Verbindung mit dem akademischen Grad geführt werden.</w:t>
      </w:r>
    </w:p>
    <w:p>
      <w:r>
        <w:rPr>
          <w:color w:val="555555"/>
          <w:sz w:val="17"/>
        </w:rPr>
        <w:t xml:space="preserve">Zitiervorschlag: Art 1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