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BaySiedlVerwV (Bayern)</w:t>
      </w:r>
    </w:p>
    <w:p>
      <w:r>
        <w:rPr>
          <w:color w:val="555555"/>
          <w:sz w:val="18"/>
        </w:rPr>
        <w:t xml:space="preserve">Verordnung über die Verwaltung des ländlichen Siedlungswesens(LändSwV)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§§ 1, 4 und 26 des Reichssiedlungsgesetzes vom 11. August 1919 (RGBl. S. 1429) wird verordnet:</w:t>
      </w:r>
    </w:p>
    <w:p>
      <w:r>
        <w:rPr>
          <w:color w:val="555555"/>
          <w:sz w:val="17"/>
        </w:rPr>
        <w:t xml:space="preserve">Zitiervorschlag: Eingangsformel BaySiedlVerwV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https://recht.nulegal.eu/gesetze/BaySiedlVerwV/eingangsformel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