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BaySenG (Bayern) — Geschäftsordnung</w:t>
      </w:r>
    </w:p>
    <w:p>
      <w:r>
        <w:rPr>
          <w:color w:val="555555"/>
          <w:sz w:val="18"/>
        </w:rPr>
        <w:t xml:space="preserve">Bayerisches Seniorenmitwirkungsgesetz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Nähere, insbesondere zur Wahl der Delegierten und der Mitglieder des Vorstands, ihrer Amtszeit, ihren Aufgaben und zum Geschäftsgang, bestimmt die Landesversammlung durch Mehrheitsbeschluss im Einvernehmen mit dem Staatsministerium.</w:t>
      </w:r>
    </w:p>
    <w:p>
      <w:r>
        <w:rPr>
          <w:color w:val="555555"/>
          <w:sz w:val="17"/>
        </w:rPr>
        <w:t xml:space="preserve">Zitiervorschlag: Art 6 BaySenG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https://recht.nulegal.eu/gesetze/BaySenG/6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