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BaySenG (Bayern) — Aufgaben</w:t>
      </w:r>
    </w:p>
    <w:p>
      <w:r>
        <w:rPr>
          <w:color w:val="555555"/>
          <w:sz w:val="18"/>
        </w:rPr>
        <w:t xml:space="preserve">Bayerisches Seniorenmitwirkungsgesetz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Landesseniorenrat</w:t>
      </w:r>
    </w:p>
    <w:p>
      <w:r>
        <w:t xml:space="preserve">1. befasst sich mit Grundsatzfragen der Seniorenpolitik,</w:t>
      </w:r>
    </w:p>
    <w:p>
      <w:r>
        <w:t xml:space="preserve">2. befasst sich mit Anträgen und Empfehlungen seiner Mitglieder,</w:t>
      </w:r>
    </w:p>
    <w:p>
      <w:r>
        <w:t xml:space="preserve">3. unterstützt die Gemeinden und Landkreise bei der Errichtung und dem Erhalt von Seniorenvertretungen,</w:t>
      </w:r>
    </w:p>
    <w:p>
      <w:r>
        <w:t xml:space="preserve">4. unterstützt die Gemeinden und die Landkreise in ihrer Seniorenarbeit und informiert sie über seniorenrelevante Themen,</w:t>
      </w:r>
    </w:p>
    <w:p>
      <w:r>
        <w:t xml:space="preserve">5. nimmt seniorenspezifische Interessen auf Landesebene wahr und vertritt diese insbesondere gegenüber dem Landtag und der Staatsregierung,</w:t>
      </w:r>
    </w:p>
    <w:p>
      <w:r>
        <w:t xml:space="preserve">6. führt insbesondere Fachtagungen und Anhörungen durch und nimmt überörtliche Presse- und Informationsarbeit wahr,</w:t>
      </w:r>
    </w:p>
    <w:p>
      <w:r>
        <w:t xml:space="preserve">7. soll zu allen Gesetzes-, Verordnungs- und sonstigen wichtigen Vorhaben der Staatsregierung angehört werden, soweit sie im Schwerpunkt seniorenbezogene Themen behandeln oder berühren,</w:t>
      </w:r>
    </w:p>
    <w:p>
      <w:r>
        <w:t xml:space="preserve">8. berichtet dem Staatsministerium für Familie, Arbeit und Soziales (Staatsministerium) alle vier Jahre über seine Tätigkeit und die Verwendung der Mittel.</w:t>
      </w:r>
    </w:p>
    <w:p>
      <w:r>
        <w:rPr>
          <w:color w:val="555555"/>
          <w:sz w:val="17"/>
        </w:rPr>
        <w:t xml:space="preserve">Zitiervorschlag: Art 5 BaySenG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https://recht.nulegal.eu/gesetze/BaySenG/5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