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BaySchlG (Bayern) — Aufnahme des Schlichtungsantrags durch die Gütestelle</w:t>
      </w:r>
    </w:p>
    <w:p>
      <w:r>
        <w:rPr>
          <w:color w:val="555555"/>
          <w:sz w:val="18"/>
        </w:rPr>
        <w:t xml:space="preserve">Bayerisches Schlichtungsgesetz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Gütestelle nimmt den schriftlichen Schlichtungsantrag während der üblichen Geschäftszeiten entgegen und registriert ihn. Der Schlichtungsantrag kann auch zu Protokoll der Gütestelle erklärt werden.</w:t>
      </w:r>
    </w:p>
    <w:p>
      <w:r>
        <w:rPr>
          <w:color w:val="555555"/>
          <w:sz w:val="17"/>
        </w:rPr>
        <w:t xml:space="preserve">Zitiervorschlag: Art 7 BaySchlG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https://recht.nulegal.eu/gesetze/BaySchlG/7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