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21 BaySchlG (Bayern) — In-Kraft-Treten, Außer-Kraft-Treten</w:t>
      </w:r>
    </w:p>
    <w:p>
      <w:r>
        <w:rPr>
          <w:color w:val="555555"/>
          <w:sz w:val="18"/>
        </w:rPr>
        <w:t xml:space="preserve">Bayerisches Schlichtungsgesetz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Dieses Gesetz tritt am 1. Mai 2000 in Kraft.</w:t>
      </w:r>
    </w:p>
    <w:p>
      <w:r>
        <w:rPr>
          <w:color w:val="555555"/>
          <w:sz w:val="17"/>
        </w:rPr>
        <w:t xml:space="preserve">Zitiervorschlag: Art 21 BaySchlG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https://recht.nulegal.eu/gesetze/BaySchlG/21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