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19 BaySchlG (Bayern) — Erteilung der Vollstreckungsklausel</w:t>
      </w:r>
    </w:p>
    <w:p>
      <w:r>
        <w:rPr>
          <w:color w:val="555555"/>
          <w:sz w:val="18"/>
        </w:rPr>
        <w:t xml:space="preserve">Bayerisches Schlichtungsgesetz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Vollstreckungsklausel auf einem Vergleich einer Gütestelle nach Art. 5 Abs. 1 erteilt der Notar.</w:t>
      </w:r>
    </w:p>
    <w:p>
      <w:r>
        <w:t xml:space="preserve">(2) Die Vollstreckungsklausel auf einem Vergleich einer Gütestelle nach Art. 5 Abs. 2 und Abs. 3 Satz 2 erteilt der Rechtspfleger des Amtsgerichts, in dessen Bezirk die Gütestelle eingerichtet ist.</w:t>
      </w:r>
    </w:p>
    <w:p>
      <w:r>
        <w:rPr>
          <w:color w:val="555555"/>
          <w:sz w:val="17"/>
        </w:rPr>
        <w:t xml:space="preserve">Zitiervorschlag: Art 19 BaySchlG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https://recht.nulegal.eu/gesetze/BaySchlG/19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