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18 BaySchlG (Bayern) — Vollstreckung aus einem Vergleich</w:t>
      </w:r>
    </w:p>
    <w:p>
      <w:r>
        <w:rPr>
          <w:color w:val="555555"/>
          <w:sz w:val="18"/>
        </w:rPr>
        <w:t xml:space="preserve">Bayerisches Schlichtungsgesetz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Aus einem vor dem Schlichter der Gütestelle geschlossenen Vergleich findet die Zwangsvollstreckung nach § 794 Abs. 1 Nr. 1 ZPO statt.</w:t>
      </w:r>
    </w:p>
    <w:p>
      <w:r>
        <w:rPr>
          <w:color w:val="555555"/>
          <w:sz w:val="17"/>
        </w:rPr>
        <w:t xml:space="preserve">Zitiervorschlag: Art 18 BaySchlG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https://recht.nulegal.eu/gesetze/BaySchlG/18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