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BaySchlG (Bayern) — Beitreibung der Vergütung durch die Staatskasse</w:t>
      </w:r>
    </w:p>
    <w:p>
      <w:r>
        <w:rPr>
          <w:color w:val="555555"/>
          <w:sz w:val="18"/>
        </w:rPr>
        <w:t xml:space="preserve">Bayerisches Schlichtungsgesetz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dem Schlichter die Vergütung nach Art. 15 Abs. 3 erstattet worden, so geht der Anspruch auf Kostenerstattung, der sich aus der Verurteilung des Gegners in die Prozesskosten im nachfolgenden Gerichtsverfahren ergibt, insoweit auf die Staatskasse über.</w:t>
      </w:r>
    </w:p>
    <w:p>
      <w:r>
        <w:t xml:space="preserve">(2) Der Vergütungsanspruch nach Absatz 1 ist von der Staatskasse nach den Vorschriften über die Einziehung der Kosten des gerichtlichen Verfahrens geltend zu machen. Die Ansprüche werden bei dem Amtsgericht angesetzt, bei dem der nachfolgende Rechtsstreit geführt wurde. Für die Entscheidung über eine gegen den Ansatz gerichtete Erinnerung und über die Beschwerde gilt § 5 Gerichtskostengesetz entsprechend.</w:t>
      </w:r>
    </w:p>
    <w:p>
      <w:r>
        <w:rPr>
          <w:color w:val="555555"/>
          <w:sz w:val="17"/>
        </w:rPr>
        <w:t xml:space="preserve">Zitiervorschlag: Art 16 BaySchlG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https://recht.nulegal.eu/gesetze/BaySchlG/16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