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 BaySchlG (Bayern) — Vorschuss für die Vergütung</w:t>
      </w:r>
    </w:p>
    <w:p>
      <w:r>
        <w:rPr>
          <w:color w:val="555555"/>
          <w:sz w:val="18"/>
        </w:rPr>
        <w:t xml:space="preserve">Bayerisches Schlichtungsgesetz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Schlichter fordert vom Antragsteller vor Durchführung des Schlichtungsverfahrens einen Vorschuss in Höhe der Gebühr nach Art. 13 Abs. 2 Nr. 2 zuzüglich der Auslagen nach Art. 13 Abs. 4.</w:t>
      </w:r>
    </w:p>
    <w:p>
      <w:r>
        <w:t xml:space="preserve">(2) Nach Abschluss des Schlichtungsverfahrens rechnet der Schlichter gegenüber dem Antragsteller über den Vorschuss ab.</w:t>
      </w:r>
    </w:p>
    <w:p>
      <w:r>
        <w:rPr>
          <w:color w:val="555555"/>
          <w:sz w:val="17"/>
        </w:rPr>
        <w:t xml:space="preserve">Zitiervorschlag: Art 14 BaySchlG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https://recht.nulegal.eu/gesetze/BaySchlG/14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 BaySchlG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