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BaySchlG (Bayern) — Vergütung</w:t>
      </w:r>
    </w:p>
    <w:p>
      <w:r>
        <w:rPr>
          <w:color w:val="555555"/>
          <w:sz w:val="18"/>
        </w:rPr>
        <w:t xml:space="preserve">Bayerisches Schlichtungsgesetz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Schlichter nach Art. 5 Abs. 1 und 2 erheben für ihre Tätigkeit eine Vergütung (Gebühren und Auslagen) nur nach diesem Gesetz. Sie erhalten Ersatz der auf die Vergütung entfallenden Umsatzsteuer, sofern diese nicht nach § 19 Abs. 1 des Umsatzsteuergesetzes unerhoben bleibt.</w:t>
      </w:r>
    </w:p>
    <w:p>
      <w:r>
        <w:t xml:space="preserve">(2) Die Gebühr für das Schlichtungsverfahren beträgt</w:t>
      </w:r>
    </w:p>
    <w:p>
      <w:r>
        <w:t xml:space="preserve">1. 50 Euro, wenn das Verfahren ohne Schlichtungsgespräch endet,</w:t>
      </w:r>
    </w:p>
    <w:p>
      <w:r>
        <w:t xml:space="preserve">2. 100 Euro, wenn ein Schlichtungsgespräch durchgeführt wurde.</w:t>
      </w:r>
    </w:p>
    <w:p>
      <w:r>
        <w:t xml:space="preserve">(3) Werden Schlichter im Rahmen des Vollzugs der Vereinbarung zur Konfliktbewältigung im Auftrag beider Parteien tätig, entsteht eine weitere Gebühr in Höhe von 50 Euro.</w:t>
      </w:r>
    </w:p>
    <w:p>
      <w:r>
        <w:t xml:space="preserve">(4) Mit der Gebühr werden die allgemeinen Geschäftsunkosten der Schlichter abgegolten. Für Post- und Telekommunikationsdienstleistungen sowie Schreibauslagen können die Schlichter einen Pauschsatz von 20 Euro fordern.</w:t>
      </w:r>
    </w:p>
    <w:p>
      <w:r>
        <w:rPr>
          <w:color w:val="555555"/>
          <w:sz w:val="17"/>
        </w:rPr>
        <w:t xml:space="preserve">Zitiervorschlag: Art 13 BaySchlG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https://recht.nulegal.eu/gesetze/BaySchlG/13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