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 BaySchlG (Bayern) — Protokollierung der Konfliktbeilegung</w:t>
      </w:r>
    </w:p>
    <w:p>
      <w:r>
        <w:rPr>
          <w:color w:val="555555"/>
          <w:sz w:val="18"/>
        </w:rPr>
        <w:t xml:space="preserve">Bayerisches Schlichtungsgesetz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Wird vor dem Schlichter eine Vereinbarung zur Konfliktbeilegung geschlossen, so ist diese unter Angabe des Tages ihres Zustandekommens schriftlich niederzulegen und von den Parteien zu unterschreiben. Der Schlichter bestätigt den Abschluss der Vereinbarung mit seiner Unterschrift. Die Konfliktregelung muss auch eine Einigung der Parteien über die Kosten des Schlichtungsverfahrens enthalten. Die Kosten des Schlichtungsverfahrens sind der Höhe nach auszuweisen. Die Parteien erhalten vom Schlichter auf Antrag eine Abschrift der Vereinbarung.</w:t>
      </w:r>
    </w:p>
    <w:p>
      <w:r>
        <w:rPr>
          <w:color w:val="555555"/>
          <w:sz w:val="17"/>
        </w:rPr>
        <w:t xml:space="preserve">Zitiervorschlag: Art 12 BaySchlG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https://recht.nulegal.eu/gesetze/BaySchlG/12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