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BaySchlG (Bayern) — Sachlicher Umfang der obligatorischen Schlichtung</w:t>
      </w:r>
    </w:p>
    <w:p>
      <w:r>
        <w:rPr>
          <w:color w:val="555555"/>
          <w:sz w:val="18"/>
        </w:rPr>
        <w:t xml:space="preserve">Bayerisches Schlichtungsgesetz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Vor den Amtsgerichten kann in folgenden bürgerlichrechtlichen Streitigkeiten mit Ausnahme der in § 15a Abs. 2 EGZPO genannten Streitigkeiten eine Klage erst erhoben werden, wenn die Parteien einen Versuch unternommen haben, die Streitigkeit vor einer in Art. 3 genannten Schlichtungs- oder Gütestelle gütlich beizulegen:</w:t>
      </w:r>
    </w:p>
    <w:p>
      <w:r>
        <w:t xml:space="preserve">1. in Streitigkeiten über Ansprüche wegen</w:t>
      </w:r>
    </w:p>
    <w:p>
      <w:r>
        <w:t xml:space="preserve">a) der in § 906 BGB geregelten Einwirkungen auf das Nachbargrundstück, sofern es sich nicht um Einwirkungen von einem gewerblichen Betrieb handelt,</w:t>
      </w:r>
    </w:p>
    <w:p>
      <w:r>
        <w:t xml:space="preserve">b) Überwuchses nach § 910 BGB,</w:t>
      </w:r>
    </w:p>
    <w:p>
      <w:r>
        <w:t xml:space="preserve">c) Hinüberfalls nach § 911 BGB,</w:t>
      </w:r>
    </w:p>
    <w:p>
      <w:r>
        <w:t xml:space="preserve">d) eines Grenzbaums nach § 923 BGB,</w:t>
      </w:r>
    </w:p>
    <w:p>
      <w:r>
        <w:t xml:space="preserve">e) der in den Art. 43 bis 54 AGBGB geregelten Nachbarrechte, sofern es sich nicht um Einwirkungen von einem gewerblichen Betrieb handelt,</w:t>
      </w:r>
    </w:p>
    <w:p>
      <w:r>
        <w:t xml:space="preserve">2. in Streitigkeiten über Ansprüche wegen der Verletzung der persönlichen Ehre, die nicht in Presse oder Rundfunk begangen worden ist,</w:t>
      </w:r>
    </w:p>
    <w:p>
      <w:r>
        <w:t xml:space="preserve">3. in Streitigkeiten über Ansprüche nach Abschnitt 3 des Allgemeinen Gleichbehandlungsgesetzes.</w:t>
      </w:r>
    </w:p>
    <w:p>
      <w:r>
        <w:rPr>
          <w:color w:val="555555"/>
          <w:sz w:val="17"/>
        </w:rPr>
        <w:t xml:space="preserve">Zitiervorschlag: Art 1 BaySchlG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https://recht.nulegal.eu/gesetze/BaySchlG/1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