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BaySchiffV (Bayern) — Inhalt des Schiffsführerscheins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Schiffsführerschein muß folgende Angaben enthalten:</w:t>
      </w:r>
    </w:p>
    <w:p>
      <w:r>
        <w:t xml:space="preserve">1. Familien- und Vorname, Lichtbild, Wohnort, Geburtsdatum und Unterschrift des Führerscheininhabers,</w:t>
      </w:r>
    </w:p>
    <w:p>
      <w:r>
        <w:t xml:space="preserve">2. Nebenbestimmungen,</w:t>
      </w:r>
    </w:p>
    <w:p>
      <w:r>
        <w:t xml:space="preserve">3. ausstellende Behörde, Ort und Datum der Ausstellung, Unterschrift des Ausfertigenden.</w:t>
      </w:r>
    </w:p>
    <w:p>
      <w:r>
        <w:t xml:space="preserve">(2) Ist ein Schiffsführerschein verlorengegangen, so stellt die Behörde, welche den Schiffsführerschein erteilt hat, auf Antrag eine zweite Ausfertigung aus, die als solche zu bezeichnen ist.</w:t>
      </w:r>
    </w:p>
    <w:p>
      <w:r>
        <w:rPr>
          <w:color w:val="555555"/>
          <w:sz w:val="17"/>
        </w:rPr>
        <w:t xml:space="preserve">Zitiervorschlag: § 9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