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BaySchiffV (Bayern) — Schiffsführerprüfung</w:t>
      </w:r>
    </w:p>
    <w:p>
      <w:r>
        <w:rPr>
          <w:color w:val="555555"/>
          <w:sz w:val="18"/>
        </w:rPr>
        <w:t xml:space="preserve">Bayerische Schifffahrtsverordnung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Bewerber um den Schiffsführerschein hat seine Befähigung in einer theoretischen und praktischen Prüfung nachzuweisen, die von der nach § 19 Abs. 2 bestimmten Untersuchungsstelle durchgeführt wird.</w:t>
      </w:r>
    </w:p>
    <w:p>
      <w:r>
        <w:t xml:space="preserve">(2) Die Prüfung erstreckt sich auf die schifffahrts- und wasserrechtlichen Vorschriften, das Verhalten unter besonderen Umständen, die Fertigkeit in der Führung des Fahrzeugs und die Kenntnis des Fahrwassers.</w:t>
      </w:r>
    </w:p>
    <w:p>
      <w:r>
        <w:rPr>
          <w:color w:val="555555"/>
          <w:sz w:val="17"/>
        </w:rPr>
        <w:t xml:space="preserve">Zitiervorschlag: § 8 BaySchiffV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https://recht.nulegal.eu/gesetze/BaySchiffV/8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