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BaySchiffV (Bayern) — Inkrafttreten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November 1977 in Kraft.</w:t>
      </w:r>
    </w:p>
    <w:p>
      <w:r>
        <w:t xml:space="preserve">(2) Abweichend von Absatz 1 treten für Fahrzeuge, die bereits zugelassen sind oder bisher keiner Zulassung unterlagen, in Kraft:</w:t>
      </w:r>
    </w:p>
    <w:p>
      <w:r>
        <w:t xml:space="preserve">§ 14 Abs. 6 Satz 2 am 1. November 1980,</w:t>
      </w:r>
    </w:p>
    <w:p>
      <w:r>
        <w:t xml:space="preserve">§ 15 Abs. 2 am 1. November 1980,</w:t>
      </w:r>
    </w:p>
    <w:p>
      <w:r>
        <w:t xml:space="preserve">§ 16 Abs. 2 Satz 1 am 1. November 1978,</w:t>
      </w:r>
    </w:p>
    <w:p>
      <w:r>
        <w:t xml:space="preserve">§ 16 Abs. 2 Satz 2 am 1. November 1982,</w:t>
      </w:r>
    </w:p>
    <w:p>
      <w:r>
        <w:t xml:space="preserve">§ 30 Abs. 2 am 1. November 1982.</w:t>
      </w:r>
    </w:p>
    <w:p>
      <w:r>
        <w:t xml:space="preserve">(3) (gegenstandslos)</w:t>
      </w:r>
    </w:p>
    <w:p>
      <w:r>
        <w:t xml:space="preserve">[Amtl. Anm.:] Betrifft die ursprüngliche Fassung vom 9. August 1977 (GVBl. S. 469)</w:t>
      </w:r>
    </w:p>
    <w:p>
      <w:r>
        <w:rPr>
          <w:color w:val="555555"/>
          <w:sz w:val="17"/>
        </w:rPr>
        <w:t xml:space="preserve">Zitiervorschlag: § 61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