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BaySchiffV (Bayern) — Übergangsbestimmungen</w:t>
      </w:r>
    </w:p>
    <w:p>
      <w:r>
        <w:rPr>
          <w:color w:val="555555"/>
          <w:sz w:val="18"/>
        </w:rPr>
        <w:t xml:space="preserve">Bayerische Schifffahrtsverordnung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Nach bisherigem Recht erteilte Schiffsführerscheine gelten weiter.</w:t>
      </w:r>
    </w:p>
    <w:p>
      <w:r>
        <w:rPr>
          <w:color w:val="555555"/>
          <w:sz w:val="17"/>
        </w:rPr>
        <w:t xml:space="preserve">Zitiervorschlag: § 58 BaySchiffV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https://recht.nulegal.eu/gesetze/BaySchiffV/58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