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BaySchiffV (Bayern) — Vorrangfahrzeuge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Fahrzeuge der Polizei, des Katastrophenschutzes, des Rettungsdienstes und sonstiger Bereiche des öffentlichen Dienstes sind von den Vorschriften dieser Verordnung befreit, soweit es zur Erfüllung ihrer Aufgaben erforderlich ist.</w:t>
      </w:r>
    </w:p>
    <w:p>
      <w:r>
        <w:t xml:space="preserve">(2) Fahrzeugen, die das blaue Blinklicht nach § 33 zeigen, müssen andere Fahrzeuge ausweichen.</w:t>
      </w:r>
    </w:p>
    <w:p>
      <w:r>
        <w:rPr>
          <w:color w:val="555555"/>
          <w:sz w:val="17"/>
        </w:rPr>
        <w:t xml:space="preserve">Zitiervorschlag: § 57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