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BaySchiffV (Bayern) — Anzeigepflichtige Veranstaltungen</w:t>
      </w:r>
    </w:p>
    <w:p>
      <w:r>
        <w:rPr>
          <w:color w:val="555555"/>
          <w:sz w:val="18"/>
        </w:rPr>
        <w:t xml:space="preserve">Bayerische Schifffahrtsverordnung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Sportveranstaltungen mit kleinen Fahrzeugen ohne eigene Triebkraft sind mindestens zwei Wochen vorher bei der Kreisverwaltungsbehörde anzuzeigen.</w:t>
      </w:r>
    </w:p>
    <w:p>
      <w:r>
        <w:t xml:space="preserve">(2) Veranstaltungen nach Absatz 1 können von der Kreisverwaltungsbehörde aus den in Art. 22 BayWG genannten Gründen untersagt oder nur in Verbindung mit Nebenbestimmungen gestattet werden.</w:t>
      </w:r>
    </w:p>
    <w:p>
      <w:r>
        <w:t xml:space="preserve">[Amtl. Anm.:] BayRS 753-1-I</w:t>
      </w:r>
    </w:p>
    <w:p>
      <w:r>
        <w:rPr>
          <w:color w:val="555555"/>
          <w:sz w:val="17"/>
        </w:rPr>
        <w:t xml:space="preserve">Zitiervorschlag: § 52 BaySchiffV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https://recht.nulegal.eu/gesetze/BaySchiffV/52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