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BaySchiffV (Bayern) — Erlaubnispflichtige Veranstaltungen</w:t>
      </w:r>
    </w:p>
    <w:p>
      <w:r>
        <w:rPr>
          <w:color w:val="555555"/>
          <w:sz w:val="18"/>
        </w:rPr>
        <w:t xml:space="preserve">Bayerische Schifffahrtsverordnung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Sport- und Werbeveranstaltungen sowie sonstige Veranstaltungen auf dem Wasser, die zur Ansammlung von Fahrzeugen oder zur Erschwerung oder Gefährdung des Wasserverkehrs führen können, bedürfen der Erlaubnis der Kreisverwaltungsbehörde, sofern nicht gemäß § 52 eine Anzeige genügt. Satz 1 findet keine Anwendung auf Trainingsfahrten, die Sportveranstaltungen vorausgehen.</w:t>
      </w:r>
    </w:p>
    <w:p>
      <w:r>
        <w:t xml:space="preserve">(2) Die Erlaubnis kann aus den im Art. 27 Abs. 4 Satz 3 BayWG genannten Gründen versagt, mit Nebenbestimmungen versehen oder widerrufen werden. Sie darf nur erteilt werden, wenn die Zustimmung des Gewässereigentümers vorliegt.</w:t>
      </w:r>
    </w:p>
    <w:p>
      <w:r>
        <w:t xml:space="preserve">[Amtl. Anm.:] BayRS 753-1-I</w:t>
      </w:r>
    </w:p>
    <w:p>
      <w:r>
        <w:rPr>
          <w:color w:val="555555"/>
          <w:sz w:val="17"/>
        </w:rPr>
        <w:t xml:space="preserve">Zitiervorschlag: § 51 BaySchiffV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https://recht.nulegal.eu/gesetze/BaySchiffV/51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