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BaySchiffV (Bayern) — Fahrt mit Hilfsmotor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Sind Segelfahrzeuge mit einem Hilfsmotor ausgerüstet, darf dieser nur benutzt werden, um sich bei auftretender Gefahr in Sicherheit zu bringen.</w:t>
      </w:r>
    </w:p>
    <w:p>
      <w:r>
        <w:t xml:space="preserve">(2) Soweit es die Verhältnisse erfordern, darf der Hilfsmotor auch zum Ein- und Auslaufen in einen Hafenbereich oder ein Bojenfeld benutzt werden.</w:t>
      </w:r>
    </w:p>
    <w:p>
      <w:r>
        <w:rPr>
          <w:color w:val="555555"/>
          <w:sz w:val="17"/>
        </w:rPr>
        <w:t xml:space="preserve">Zitiervorschlag: § 48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