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BaySchiffV (Bayern) — Verhalten beim Überholen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Überholen ist nur gestattet, wenn sich der Überholende vergewissert hat, daß dieses Manöver ohne Gefährdung oder Behinderung anderer Fahrzeuge ausgeführt werden kann.</w:t>
      </w:r>
    </w:p>
    <w:p>
      <w:r>
        <w:t xml:space="preserve">(2) Der Vorausfahrende muß das Überholen erleichtern, soweit dies notwendig und möglich ist.</w:t>
      </w:r>
    </w:p>
    <w:p>
      <w:r>
        <w:rPr>
          <w:color w:val="555555"/>
          <w:sz w:val="17"/>
        </w:rPr>
        <w:t xml:space="preserve">Zitiervorschlag: § 44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