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BaySchiffV (Bayern) — Verhalten von Segelfahrzeugen untereinander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Nähern sich zwei Segelfahrzeuge einander so, daß die Gefahr eines Zusammenstoßes nicht auszuschließen ist, müssen sie abweichend von § 41 Abs. 2 und 3 wie folgt ausweichen:</w:t>
      </w:r>
    </w:p>
    <w:p>
      <w:r>
        <w:t xml:space="preserve">1. Wenn sie den Wind nicht von derselben Seite haben, muß das Fahrzeug, das den Wind von links hat, dem anderen ausweichen;</w:t>
      </w:r>
    </w:p>
    <w:p>
      <w:r>
        <w:t xml:space="preserve">2. wenn sie den Wind von derselben Seite haben, muß das luvseitige dem leeseitigen ausweichen; dabei ist Luvseite die Seite, von der der Wind kommt, Leeseite die windabgewandte Seite.</w:t>
      </w:r>
    </w:p>
    <w:p>
      <w:r>
        <w:rPr>
          <w:color w:val="555555"/>
          <w:sz w:val="17"/>
        </w:rPr>
        <w:t xml:space="preserve">Zitiervorschlag: § 43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