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BaySchiffV (Bayern) — Ausweichpflichtige Fahrzeuge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41 müssen ausweichen</w:t>
      </w:r>
    </w:p>
    <w:p>
      <w:r>
        <w:t xml:space="preserve">1. den Fahrgastschiffen im Linienverkehr alle anderen Fahrzeuge,</w:t>
      </w:r>
    </w:p>
    <w:p>
      <w:r>
        <w:t xml:space="preserve">2. den Fahrzeugen der Berufsfischer, welche die Flagge oder Tafel nach § 32 führen, alle Fahrzeuge, ausgenommen Fahrgastschiffe im Linienverkehr,</w:t>
      </w:r>
    </w:p>
    <w:p>
      <w:r>
        <w:t xml:space="preserve">3. den Segelfahrzeugen alle Fahrzeuge, ausgenommen Fahrgastschiffe im Linienverkehr, Güterschiffe und Fahrzeuge der Berufsfischer, welche die Flagge oder Tafel nach § 32 führen. Bei Flaute müssen jedoch alle Fahrzeuge den Segelfahrzeugen ausweichen,</w:t>
      </w:r>
    </w:p>
    <w:p>
      <w:r>
        <w:t xml:space="preserve">4. den Ruderbooten alle Fahrzeuge mit Maschinenantrieb, ausgenommen Fahrgastschiffe im Linienverkehr, Güterschiffe und Fahrzeuge der Berufsfischer, welche die Flagge oder Tafel nach § 32 führen.</w:t>
      </w:r>
    </w:p>
    <w:p>
      <w:r>
        <w:t xml:space="preserve">Der Vorrang der Fahrgastschiffe im Linienverkehr gilt auch bei Sonderfahrten, jedoch nicht gegenüber Fahrzeugen der Berufsfischer, welche die Flagge oder Tafel nach § 32 führen.</w:t>
      </w:r>
    </w:p>
    <w:p>
      <w:r>
        <w:rPr>
          <w:color w:val="555555"/>
          <w:sz w:val="17"/>
        </w:rPr>
        <w:t xml:space="preserve">Zitiervorschlag: § 42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