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BaySchiffV (Bayern) — Verbot des Einbringens von Stoffen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Vorbehaltlich der Vorschriften des Abfall- und Wasserrechts in der jeweils geltenden Fassung dürfen feste, flüssige oder gasförmige Stoffe, die nach Art und Menge geeignet sind,</w:t>
      </w:r>
    </w:p>
    <w:p>
      <w:r>
        <w:t xml:space="preserve">1. Personen zu gefährden,</w:t>
      </w:r>
    </w:p>
    <w:p>
      <w:r>
        <w:t xml:space="preserve">2. die Eigenschaften des Gewässers nachteilig zu verändern,</w:t>
      </w:r>
    </w:p>
    <w:p>
      <w:r>
        <w:t xml:space="preserve">3. den Verkehr auf dem Wasser zu behindern oder zu gefährden,</w:t>
      </w:r>
    </w:p>
    <w:p>
      <w:r>
        <w:t xml:space="preserve">4. die Berufsfischer zu behindern, zu gefährden oder zu schädigen,</w:t>
      </w:r>
    </w:p>
    <w:p>
      <w:r>
        <w:t xml:space="preserve">nicht von einem Fahrzeug oder einer schwimmenden Anlage aus in ein Gewässer eingebracht oder eingeleitet werden.</w:t>
      </w:r>
    </w:p>
    <w:p>
      <w:r>
        <w:t xml:space="preserve">(2) Sind Stoffe im Sinn des Absatzes 1 unbeabsichtigt in das Gewässer gelangt oder drohen sie, dorthin zu gelangen, muß der Schiffsführer unverzüglich die nächsterreichbare Polizeidienststelle verständigen.</w:t>
      </w:r>
    </w:p>
    <w:p>
      <w:r>
        <w:rPr>
          <w:color w:val="555555"/>
          <w:sz w:val="17"/>
        </w:rPr>
        <w:t xml:space="preserve">Zitiervorschlag: § 36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