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BaySchiffV (Bayern) — Kennzeichnung der Fahrzeuge</w:t>
      </w:r>
    </w:p>
    <w:p>
      <w:r>
        <w:rPr>
          <w:color w:val="555555"/>
          <w:sz w:val="18"/>
        </w:rPr>
        <w:t xml:space="preserve">Bayerische Schifffahrtsverordnung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Nach § 19 Abs. 1 Satz 1 zulassungspflichtige Fahrzeuge, Elektromotorboote und sämtliche Segelfahrzeuge mit Hilfsmotor oder mit eingebauten Wohn-, Koch- oder sanitären Einrichtungen müssen mit einem von der Kreisverwaltungsbehörde zugeteilten Kennzeichen versehen sein, das auf beiden Seiten des Fahrzeugs an gut sichtbarer Stelle anzubringen ist.</w:t>
      </w:r>
    </w:p>
    <w:p>
      <w:r>
        <w:t xml:space="preserve">(2) Absatz 1 gilt als erfüllt bei einem Fahrzeug mit amtlichem Kennzeichen, das von einer Behörde des Bundes oder eines Landes der Bundesrepublik Deutschland oder von einer von ihr beauftragten Stelle zugeteilt wurde.</w:t>
      </w:r>
    </w:p>
    <w:p>
      <w:r>
        <w:t xml:space="preserve">(3) Das Kennzeichen enthält das Unterscheidungszeichen der Kreisverwaltungsbehörden entsprechend der Anlage I zur Straßenverkehrs-Zulassungs-Ordnung in der jeweils geltenden Fassung und eine Erkennungszahl. Es ist in gut lesbaren lateinischen Schriftzeichen und arabischen Ziffern anzubringen. Die Schriftzeichen und die Ziffern müssen mindestens 8 cm hoch sein.</w:t>
      </w:r>
    </w:p>
    <w:p>
      <w:r>
        <w:t xml:space="preserve">(4) Fahrgastschiffe sind von der Kennzeichnungspflicht nach Absatz 1 befreit. Sie haben auf beiden Seiten den Schiffsnamen zu tragen. Der Schiffsname muß in gut lesbaren lateinischen Schriftzeichen geschrieben sein.</w:t>
      </w:r>
    </w:p>
    <w:p>
      <w:r>
        <w:t xml:space="preserve">[Amtl. Anm.:] BGBl. FN 9232-1</w:t>
      </w:r>
    </w:p>
    <w:p>
      <w:r>
        <w:rPr>
          <w:color w:val="555555"/>
          <w:sz w:val="17"/>
        </w:rPr>
        <w:t xml:space="preserve">Zitiervorschlag: § 29 BaySchiffV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https://recht.nulegal.eu/gesetze/BaySchiffV/29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