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BaySchiffV (Bayern) — Verantwortlichkeit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Fahrzeughalter ist unbeschadet der Verantwortlichkeit des Schiffsführers nach § 26 Abs. 3 dafür verantwortlich, daß sich das Fahrzeug in vorschriftsmäßigem Zustand befindet.</w:t>
      </w:r>
    </w:p>
    <w:p>
      <w:r>
        <w:t xml:space="preserve">(2) Der Fahrzeughalter darf das Führen des Fahrzeugs nur solchen Personen gestatten, die im Sinn von § 7 Abs. 2 geeignet sind.</w:t>
      </w:r>
    </w:p>
    <w:p>
      <w:r>
        <w:rPr>
          <w:color w:val="555555"/>
          <w:sz w:val="17"/>
        </w:rPr>
        <w:t xml:space="preserve">Zitiervorschlag: § 25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