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BaySchiffV (Bayern) — Anzeigepflicht bei Veränderungen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Tatsachen, die eine Änderung der Zulassungsurkunde erfordern, hat der Eigentümer oder sonst Verfügungsberechtigte der Kreisverwaltungsbehörde, welche die Zulassungsurkunde ausgestellt hat, innerhalb von vier Wochen anzuzeigen.</w:t>
      </w:r>
    </w:p>
    <w:p>
      <w:r>
        <w:t xml:space="preserve">(2) Wird ein Fahrzeug dauernd aus dem Verkehr gezogen, so hat der Fahrzeughalter oder sonst Verfügungsberechtigte dies der Kreisverwaltungsbehörde, welche die Zulassungsurkunde ausgestellt hat, unter Vorlage der Zulassungsurkunde anzuzeigen.</w:t>
      </w:r>
    </w:p>
    <w:p>
      <w:r>
        <w:rPr>
          <w:color w:val="555555"/>
          <w:sz w:val="17"/>
        </w:rPr>
        <w:t xml:space="preserve">Zitiervorschlag: § 24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