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BaySchiffV (Bayern) — Nachuntersuchung, Sonderuntersuchung, Untersuchung von Amts wegen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Zugelassene Fahrzeuge sind in bestimmten Zeitabständen erneut zu untersuchen (Nachuntersuchung). Die Fristen für die Nachuntersuchung betragen bei</w:t>
      </w:r>
    </w:p>
    <w:p>
      <w:r>
        <w:t xml:space="preserve">1.</w:t>
      </w:r>
    </w:p>
    <w:p>
      <w:r>
        <w:t xml:space="preserve">Fahrgastschiffen</w:t>
      </w:r>
    </w:p>
    <w:p>
      <w:r>
        <w:t xml:space="preserve">2 Jahre,</w:t>
      </w:r>
    </w:p>
    <w:p>
      <w:r>
        <w:t xml:space="preserve">2.</w:t>
      </w:r>
    </w:p>
    <w:p>
      <w:r>
        <w:t xml:space="preserve">sonstigen Fahrzeugen im Sinn von § 19 Abs. 1</w:t>
      </w:r>
    </w:p>
    <w:p>
      <w:r>
        <w:t xml:space="preserve">5 Jahre.</w:t>
      </w:r>
    </w:p>
    <w:p>
      <w:r>
        <w:t xml:space="preserve">Unbeschadet des Satzes 2 Nr. 1 sind Fahrgastschiffe alle fünf Jahre an Land nachzuuntersuchen. Die Vorladung zur Nachuntersuchung erfolgt durch die Kreisverwaltungsbehörde. Die Kreisverwaltungsbehörde kann in besonderen Fällen andere Fristen für die Nachuntersuchung festsetzen.</w:t>
      </w:r>
    </w:p>
    <w:p>
      <w:r>
        <w:t xml:space="preserve">(2) Nach jeder wesentlichen Veränderung oder Instandsetzung, welche die Festigkeit des Schiffskörpers, die in der Zulassungsurkunde angegebenen baulichen Merkmale oder die Stabilität beeinflußt, muß das Fahrzeug erneut untersucht werden (Sonderuntersuchung).</w:t>
      </w:r>
    </w:p>
    <w:p>
      <w:r>
        <w:t xml:space="preserve">(3) Ergeben sich Zweifel, ob ein Fahrzeug den Vorschriften dieser Verordnung entspricht, kann die Kreisverwaltungsbehörde von Amts wegen eine Untersuchung anordnen (Untersuchung von Amts wegen).</w:t>
      </w:r>
    </w:p>
    <w:p>
      <w:r>
        <w:rPr>
          <w:color w:val="555555"/>
          <w:sz w:val="17"/>
        </w:rPr>
        <w:t xml:space="preserve">Zitiervorschlag: § 22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