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BaySchiffV (Bayern) — Inhalt der Zulassungsurkunde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Zulassungsurkunde muß folgende Angaben enthalten:</w:t>
      </w:r>
    </w:p>
    <w:p>
      <w:r>
        <w:t xml:space="preserve">1. Art und Fabrikat des Fahrzeugs,</w:t>
      </w:r>
    </w:p>
    <w:p>
      <w:r>
        <w:t xml:space="preserve">2. Kennzeichen des Fahrzeugs,</w:t>
      </w:r>
    </w:p>
    <w:p>
      <w:r>
        <w:t xml:space="preserve">3. Länge und Breite über alles,</w:t>
      </w:r>
    </w:p>
    <w:p>
      <w:r>
        <w:t xml:space="preserve">4. bei Fahrgastschiffen die zulässige Anzahl von Fahrgästen,</w:t>
      </w:r>
    </w:p>
    <w:p>
      <w:r>
        <w:t xml:space="preserve">5. Art und Fabrikat des Motors, Motor-Nummer und Motorleistung,</w:t>
      </w:r>
    </w:p>
    <w:p>
      <w:r>
        <w:t xml:space="preserve">6. Mindestbesatzung bei Fahrgast- und Güterschiffen,</w:t>
      </w:r>
    </w:p>
    <w:p>
      <w:r>
        <w:t xml:space="preserve">7. vorgeschriebene Ausrüstung,</w:t>
      </w:r>
    </w:p>
    <w:p>
      <w:r>
        <w:t xml:space="preserve">8. Nebenbestimmungen,</w:t>
      </w:r>
    </w:p>
    <w:p>
      <w:r>
        <w:t xml:space="preserve">9. Name und Wohnsitz des Fahrzeughalters oder sonst Verfügungsberechtigten,</w:t>
      </w:r>
    </w:p>
    <w:p>
      <w:r>
        <w:t xml:space="preserve">10. ausstellende Behörde, Ort und Datum der Ausstellung, Unterschrift des Ausfertigenden,</w:t>
      </w:r>
    </w:p>
    <w:p>
      <w:r>
        <w:t xml:space="preserve">11. auf Antrag die für die Eintragung des Fahrzeugs in das Schiffsregister erforderlichen Angaben.</w:t>
      </w:r>
    </w:p>
    <w:p>
      <w:r>
        <w:t xml:space="preserve">(2) § 9 Abs. 2 gilt entsprechend.</w:t>
      </w:r>
    </w:p>
    <w:p>
      <w:r>
        <w:rPr>
          <w:color w:val="555555"/>
          <w:sz w:val="17"/>
        </w:rPr>
        <w:t xml:space="preserve">Zitiervorschlag: § 20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