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BaySchiffV (Bayern) — Abnahme der Prüfung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Untersuchungsstelle leitet der Kreisverwaltungsbehörde eine Niederschrift über den Prüfungsverlauf zu.</w:t>
      </w:r>
    </w:p>
    <w:p>
      <w:r>
        <w:t xml:space="preserve">(2) Für die Abnahme der praktischen Prüfung hat der Bewerber ein Fahrzeug der Klasse, für die er seine Befähigung nachweisen will, bereitzustellen.</w:t>
      </w:r>
    </w:p>
    <w:p>
      <w:r>
        <w:t xml:space="preserve">(3) Auf Grund des Ergebnisses der Prüfung entscheidet die Kreisverwaltungsbehörde über den Antrag des Bewerbers.</w:t>
      </w:r>
    </w:p>
    <w:p>
      <w:r>
        <w:t xml:space="preserve">(4) Bei Nichtbestehen kann eine neue Prüfung frühstens nach Ablauf von zwei Wochen abgenommen werden.</w:t>
      </w:r>
    </w:p>
    <w:p>
      <w:r>
        <w:rPr>
          <w:color w:val="555555"/>
          <w:sz w:val="17"/>
        </w:rPr>
        <w:t xml:space="preserve">Zitiervorschlag: § 11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