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BaySchallzVO (Bayern)</w:t>
      </w:r>
    </w:p>
    <w:p>
      <w:r>
        <w:rPr>
          <w:color w:val="555555"/>
          <w:sz w:val="18"/>
        </w:rPr>
        <w:t xml:space="preserve">Verordnung über öffentliche Schallzeichen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Art. 22 Abs. 1 des Landesstraf- und Verordnungsgesetzes (LStVG) – BayRS 2011-2-I-I, zuletzt geändert durch § 6 des Gesetzes vom 26. Juli 1997 (GVBl S. 323), erläßt das Bayerische Staatsministerium des Innern folgende Verordnung:</w:t>
      </w:r>
    </w:p>
    <w:p>
      <w:r>
        <w:rPr>
          <w:color w:val="555555"/>
          <w:sz w:val="17"/>
        </w:rPr>
        <w:t xml:space="preserve">Zitiervorschlag: Eingangsformel BaySchallzVO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https://recht.nulegal.eu/gesetze/BaySchallzVO/eingangsformel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