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BaySchO (Bayern) — Beschlussfassung</w:t>
      </w:r>
    </w:p>
    <w:p>
      <w:r>
        <w:rPr>
          <w:color w:val="555555"/>
          <w:sz w:val="18"/>
        </w:rPr>
        <w:t xml:space="preserve">Bayerische 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Lehrerkonferenz ist beschlussfähig, wenn sämtliche Mitglieder ordnungsgemäß geladen sind und die Mehrheit der zur Teilnahme verpflichteten Mitglieder anwesend ist. Wird die Lehrerkonferenz zum zweiten Mal zur Behandlung desselben Gegenstands zusammengerufen, so ist sie insoweit ohne Rücksicht auf die Zahl der Anwesenden beschlussfähig.</w:t>
      </w:r>
    </w:p>
    <w:p>
      <w:r>
        <w:t xml:space="preserve">(2) Stimmberechtigt sind alle Mitglieder der Lehrerkonferenz. Bei Besorgnis der Befangenheit gilt Art. 21 des Bayerischen Verwaltungsverfahrensgesetzes entsprechend.</w:t>
      </w:r>
    </w:p>
    <w:p>
      <w:r>
        <w:t xml:space="preserve">(3) Die anwesenden stimmberechtigten Mitglieder sind mit Ausnahme der Lehrkräfte, die im Rahmen von Ordnungsmaßnahmen nach Art. 86 Abs. 2 Nr. 3 bis 10 BayEUG als Lehrkraft des Vertrauens eingeschaltet waren, bei den Abstimmungen zur Stimmabgabe verpflichtet. Beschlüsse werden in offener Abstimmung mit einfacher Mehrheit der abgegebenen Stimmen gefasst. Bei Stimmengleichheit gibt die Stimme des vorsitzenden Mitglieds den Ausschlag. Besteht an beruflichen Schulen mehr als die Hälfte der Mitglieder der Lehrerkonferenz aus nebenamtlich tätigen oder mit weniger als der Hälfte der regelmäßigen Unterrichtspflichtzeit beschäftigten Lehrkräften, sind Beschlüsse nur wirksam, wenn sie auch von der Mehrheit der abgegebenen Stimmen der hauptamtlich tätigen oder der mit mindestens der Hälfte der regelmäßigen Unterrichtspflichtzeit beschäftigten Lehrkräfte unterstützt werden.</w:t>
      </w:r>
    </w:p>
    <w:p>
      <w:r>
        <w:rPr>
          <w:color w:val="555555"/>
          <w:sz w:val="17"/>
        </w:rPr>
        <w:t xml:space="preserve">Zitiervorschlag: § 6 BaySchO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