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BaySchO (Bayern) — Inkrafttreten, Außerkrafttreten</w:t>
      </w:r>
    </w:p>
    <w:p>
      <w:r>
        <w:rPr>
          <w:color w:val="555555"/>
          <w:sz w:val="18"/>
        </w:rPr>
        <w:t xml:space="preserve">Bayerische 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August 2016 in Kraft.</w:t>
      </w:r>
    </w:p>
    <w:p>
      <w:r>
        <w:t xml:space="preserve">(2) § 48 Abs. 3 tritt mit Ablauf des 31. Juli 2031 außer Kraft.</w:t>
      </w:r>
    </w:p>
    <w:p>
      <w:r>
        <w:rPr>
          <w:color w:val="555555"/>
          <w:sz w:val="17"/>
        </w:rPr>
        <w:t xml:space="preserve">Zitiervorschlag: § 49 BaySchO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https://recht.nulegal.eu/gesetze/BaySchO/49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