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BaySchO (Bayern) — Übergangsvorschriften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Schülerunterlagen, welche bis einschließlich zum Schuljahr 2015/16 angelegt wurden, können fortgeführt werden. Für diese gelten die §§ 37 bis 42 mit der Maßgabe, dass der Schülerbogen nach der Bekanntmachung des Bayerischen Staatsministeriums für Unterricht und Kultus über den Schülerbogen (§ 24 Allgemeine Schulordnung) das Schülerstammblatt und den Schullaufbahnbogen ersetzt und sich die Aufbewahrung des Schülerbogens nach der des Schülerstammblattes bestimmt.</w:t>
      </w:r>
    </w:p>
    <w:p>
      <w:r>
        <w:t xml:space="preserve">(2) Auf Schülerinnen und Schüler des achtjährigen Gymnasiums findet § 27 Abs. 6 in der am 31. Juli 2018 geltenden Fassung weiter Anwendung.</w:t>
      </w:r>
    </w:p>
    <w:p>
      <w:r>
        <w:t xml:space="preserve">(3) Eine Wiederholung der Schuljahre 2019/2020, 2020/2021 und 2021/2022 wird nicht auf die Höchstausbildungsdauer angerechnet.</w:t>
      </w:r>
    </w:p>
    <w:p>
      <w:r>
        <w:rPr>
          <w:color w:val="555555"/>
          <w:sz w:val="17"/>
        </w:rPr>
        <w:t xml:space="preserve">Zitiervorschlag: § 48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https://recht.nulegal.eu/gesetze/BaySchO/48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