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BaySchO (Bayern) — Verarbeitungstätigkeiten</w:t>
      </w:r>
    </w:p>
    <w:p>
      <w:r>
        <w:rPr>
          <w:color w:val="555555"/>
          <w:sz w:val="18"/>
        </w:rPr>
        <w:t xml:space="preserve">Bayerische 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 Schulen personenbezogene Daten im Rahmen einer Verarbeitungstätigkeit verarbeiten, welche in Anlage 1 geregelt wird, ist der Umfang der Verarbeitung auf das dort festgelegte Maß zu beschränken. Davon unberührt bleiben die weiteren Anforderungen aus anderen Gesetzen wie insbesondere der Verordnung (EU) 2016/679 (Datenschutz-Grundverordnung – DSGVO) und dem Bayerischen Datenschutzgesetz (BayDSG).</w:t>
      </w:r>
    </w:p>
    <w:p>
      <w:r>
        <w:t xml:space="preserve">(2) Für die Verarbeitung von Daten, die in der Schülerakte zu führen sind, oder Daten über Leistungsnachweise gilt § 38 entsprechend.</w:t>
      </w:r>
    </w:p>
    <w:p>
      <w:r>
        <w:rPr>
          <w:color w:val="555555"/>
          <w:sz w:val="17"/>
        </w:rPr>
        <w:t xml:space="preserve">Zitiervorschlag: § 46 BaySchO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https://recht.nulegal.eu/gesetze/BaySchO/46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