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BaySchO (Bayern) — Schulaufsicht</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Bereich der Grundschulen und Mittelschulen ist die rechtliche Leitung des Staatlichen Schulamts zuständig für Angelegenheiten vorwiegend rechtlicher Natur, bei deren Erledigung der Hauptzweck in der Gestaltung oder Feststellung von Rechtsbeziehungen besteht, wie etwa Rechtsbehelfsverfahren, Verwaltungszwangs- und Ordnungswidrigkeitsverfahren oder dem Vollzug sicherheits- und gesundheitsrechtlicher Vorschriften. Die fachliche Leitung ist zuständig für Angelegenheiten vorwiegend fachlicher Natur, welche nicht unter Satz 1 fallen. Jede Leitung erledigt die zu dem Aufgabenbereich gehörenden Angelegenheiten grundsätzlich in eigener Verantwortung und ist befugt, im Rahmen des Aufgabenbereichs das Staatliche Schulamt nach außen zu vertreten. Die Leitungen sind zur vertrauensvollen Zusammenarbeit verpflichtet und unterstützen sich bei der Erfüllung ihrer Aufgaben. Betrifft eine Angelegenheit beide Aufgabenbereiche, sollen Entscheidungen einvernehmlich getroffen werden. Kommt eine Einigung nicht zustande, ist die Angelegenheit der Regierung vorzulegen. Als Stellvertreter der fachlichen Leitung bestellt die Regierung eine Schulrätin oder einen Schulrat des betroffenen Staatlichen Schulamts.</w:t>
      </w:r>
    </w:p>
    <w:p>
      <w:r>
        <w:t xml:space="preserve">(2) Im Bereich der Realschulen, Gymnasien und der beruflichen Oberschulen einschließlich der entsprechenden Schulen zur sonderpädagogischen Förderung, der Abendrealschulen, Abendgymnasien sowie Kollegs werden nach Maßgabe der Schulordnungen und besonderer Dienstanweisungen besondere Beauftragte (Ministerialbeauftragte) mit der Wahrnehmung bestimmter Aufgaben im Namen des Staatsministeriums betraut. Zu den Aufgaben der Ministerialbeauftragten zählt es insbesondere</w:t>
      </w:r>
    </w:p>
    <w:p>
      <w:r>
        <w:t xml:space="preserve">1. die Schule bei der Erfüllung ihrer Aufgaben zu beraten und zu unterstützen, deren Eigenverantwortung zu stärken und in Konfliktfällen angerufen werden zu können,</w:t>
      </w:r>
    </w:p>
    <w:p>
      <w:r>
        <w:t xml:space="preserve">2. über Aufsichtsbeschwerden zu entscheiden, soweit ihnen die Schule nicht abgeholfen hat, und</w:t>
      </w:r>
    </w:p>
    <w:p>
      <w:r>
        <w:t xml:space="preserve">3. die Aufgaben der Schulaufsichtsbehörde nach Art. 58 Abs. 5 BayEUG sowie nach § 11 Abs. 1 bis 3 wahrzunehmen.</w:t>
      </w:r>
    </w:p>
    <w:p>
      <w:r>
        <w:rPr>
          <w:color w:val="555555"/>
          <w:sz w:val="17"/>
        </w:rPr>
        <w:t xml:space="preserve">Zitiervorschlag: § 44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