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BaySchO (Bayern) — Mobile Sonderpädagogische Dienste</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Mobile Sonderpädagogische Dienste in den verschiedenen Fachrichtungen unterstützen die Schulen auf deren Anforderung. Sie haben insbesondere folgende Aufgaben:</w:t>
      </w:r>
    </w:p>
    <w:p>
      <w:r>
        <w:t xml:space="preserve">1. Beratung und Unterstützung von Lehrkräften und Schulleitung der allgemeinen Schulen in Fragen der Unterrichtung von Schülerinnen und Schülern mit sonderpädagogischem Förderbedarf sowie der inklusiven Schulentwicklung,</w:t>
      </w:r>
    </w:p>
    <w:p>
      <w:r>
        <w:t xml:space="preserve">2. Feststellung des sonderpädagogischen Förderbedarfs,</w:t>
      </w:r>
    </w:p>
    <w:p>
      <w:r>
        <w:t xml:space="preserve">3. Erstellung des Förderdiagnostischen Berichts,</w:t>
      </w:r>
    </w:p>
    <w:p>
      <w:r>
        <w:t xml:space="preserve">4. Unterstützung, Förderung und Begleitung von Schülerinnen und Schülern mit sonderpädagogischem Förderbedarf und den Erziehungsberechtigten im Übergang zwischen schulischen Lernorten,</w:t>
      </w:r>
    </w:p>
    <w:p>
      <w:r>
        <w:t xml:space="preserve">5. Mitwirkung</w:t>
      </w:r>
    </w:p>
    <w:p>
      <w:r>
        <w:t xml:space="preserve">a) bei der Förderplanung,</w:t>
      </w:r>
    </w:p>
    <w:p>
      <w:r>
        <w:t xml:space="preserve">b) bei der Entscheidung über die Zurückstellung (Art. 41 Abs. 6 BayEUG) und</w:t>
      </w:r>
    </w:p>
    <w:p>
      <w:r>
        <w:t xml:space="preserve">c) an Mittelschulen und Berufsschulen bei individuellen Abschlusszeugnissen und Empfehlungen zum Übergang von der Schule in den Beruf.</w:t>
      </w:r>
    </w:p>
    <w:p>
      <w:r>
        <w:t xml:space="preserve">(2) Der Förderdiagnostische Bericht enthält eine Aussage zum sonderpädagogischen Förderbedarf und benennt im Einvernehmen mit der Schulleiterin oder dem Schulleiter der allgemeinen Schule entsprechende Fördermaßnahmen unter Berücksichtigung der Möglichkeiten vor Ort. Lehrkräfte und Erziehungsberechtigte oder volljährige Schülerinnen und Schüler werden bei der Erstellung mit einbezogen.</w:t>
      </w:r>
    </w:p>
    <w:p>
      <w:r>
        <w:t xml:space="preserve">(3) Über den Einsatz von standardisierten, diagnostischen Testverfahren sollen die Erziehungsberechtigten im Rahmen einer vertrauensvollen Zusammenarbeit mit dem Mobilen Sonderpädagogischen Dienst vorab informiert werden; Intelligenztests bedürfen der Zustimmung der volljährigen Schülerinnen oder Schüler oder der Erziehungsberechtigten. Diese erhalten Gelegenheit zur Information und Erörterung der Ergebnisse der Testverfahren, der sonstigen Beobachtungen des Mobilen Sonderpädagogischen Dienstes sowie des Förderdiagnostischen Berichts.</w:t>
      </w:r>
    </w:p>
    <w:p>
      <w:r>
        <w:t xml:space="preserve">(4) Im Rahmen der Berufsorientierung an allgemeinbildenden Schulen kann bei Bedarf auf Anforderung der allgemeinen Schule mit Zustimmung der Erziehungsberechtigten oder der volljährigen Schülerinnen oder Schüler ein Förderdiagnostischer Bericht zum Übergang Schule – Beruf erstellt werden. Der Förderdiagnostische Bericht wird den Erziehungsberechtigten oder der volljährigen Schülerin oder dem volljährigen Schüler zur weiteren Verwendung übergeben.</w:t>
      </w:r>
    </w:p>
    <w:p>
      <w:r>
        <w:t xml:space="preserve">(5) Für die an allgemeinen Schulen gemäß Art. 30 Abs. 4 Satz 1 BayEUG abgeordneten Lehrkräfte gelten Abs. 1 Satz 2 Nr. 2 und 3 und Abs. 2 bis 4 entsprechend. Der Förderdiagnostische Bericht wird in diesem Fall von diesen Lehrkräften zusätzlich im Einvernehmen mit der Schulleiterin oder dem Schulleiter der Stammschule erstellt.</w:t>
      </w:r>
    </w:p>
    <w:p>
      <w:r>
        <w:rPr>
          <w:color w:val="555555"/>
          <w:sz w:val="17"/>
        </w:rPr>
        <w:t xml:space="preserve">Zitiervorschlag: § 43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