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BaySchO (Bayern) — Auflösung, Zusammenlegung oder Teilung einer Schule</w:t>
      </w:r>
    </w:p>
    <w:p>
      <w:r>
        <w:rPr>
          <w:color w:val="555555"/>
          <w:sz w:val="18"/>
        </w:rPr>
        <w:t xml:space="preserve">Bayerische 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Im Fall der Auflösung, Zusammenlegung oder Teilung einer Schule bestimmt die Schulaufsichtsbehörde den Ort der weiteren Aufbewahrung der Schülerunterlagen nach Maßgabe des § 40.</w:t>
      </w:r>
    </w:p>
    <w:p>
      <w:r>
        <w:rPr>
          <w:color w:val="555555"/>
          <w:sz w:val="17"/>
        </w:rPr>
        <w:t xml:space="preserve">Zitiervorschlag: § 42 BaySchO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https://recht.nulegal.eu/gesetze/BaySchO/42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