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BaySchO (Bayern) — Sitzungen</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Sitzungen der Lehrerkonferenz sind nicht öffentlich. Sie sind außerhalb der regelmäßigen Unterrichtszeit, in Ausnahmefällen an Nachmittagen mit wenig Unterricht, durchzuführen.</w:t>
      </w:r>
    </w:p>
    <w:p>
      <w:r>
        <w:t xml:space="preserve">(2) Die Mitglieder der Lehrerkonferenz sind verpflichtet, an den Sitzungen teilzunehmen. Das vorsitzende Mitglied kann Lehrkräfte von der Teilnahme an einzelnen Sitzungen ganz oder teilweise befreien, insbesondere wenn diese</w:t>
      </w:r>
    </w:p>
    <w:p>
      <w:r>
        <w:t xml:space="preserve">1. zur Unterrichtserteilung an mehreren Schulen eingesetzt werden oder</w:t>
      </w:r>
    </w:p>
    <w:p>
      <w:r>
        <w:t xml:space="preserve">2. mit weniger als der Hälfte der Unterrichtspflichtzeit tätig sind.</w:t>
      </w:r>
    </w:p>
    <w:p>
      <w:r>
        <w:t xml:space="preserve">(3) Das vorsitzende Mitglied kann Dritte zur Beratung einzelner Tagesordnungspunkte in der Lehrerkonferenz hinzuziehen. In Angelegenheiten, die in die Zuständigkeit des Elternbeirats fallen, ist der Elternbeirat anzuhören. Auf die Rechte nach Art. 88 Abs. 4 Satz 2 und 3 BayEUG sind die Betroffenen rechtzeitig hinzuweisen.</w:t>
      </w:r>
    </w:p>
    <w:p>
      <w:r>
        <w:t xml:space="preserve">(4) Über jede Sitzung ist eine Niederschrift zu erstellen. Die Mitglieder der Lehrerkonferenz haben das Recht, die Niederschrift einzusehen, die nach Abs. 3 Hinzugezogenen nur hinsichtlich der Tagesordnungspunkte, zu denen sie hinzugezogen wurden. Die Niederschrift ist acht Jahre aufzubewahren.</w:t>
      </w:r>
    </w:p>
    <w:p>
      <w:r>
        <w:rPr>
          <w:color w:val="555555"/>
          <w:sz w:val="17"/>
        </w:rPr>
        <w:t xml:space="preserve">Zitiervorschlag: § 4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