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BaySchO (Bayern) — Verwendung</w:t>
      </w:r>
    </w:p>
    <w:p>
      <w:r>
        <w:rPr>
          <w:color w:val="555555"/>
          <w:sz w:val="18"/>
        </w:rPr>
        <w:t xml:space="preserve">Bayerische 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Schülerunterlagen dürfen ohne Einwilligung nur verwendet werden, soweit dies zur Erfüllung der den Schulen durch Rechtsvorschriften zugewiesenen Aufgaben erforderlich ist.</w:t>
      </w:r>
    </w:p>
    <w:p>
      <w:r>
        <w:t xml:space="preserve">(2) Der Zugriff auf die Schülerunterlagen ist jeweils auf den konkreten Einzelfall zu beschränken. Zugriff dürfen insbesondere erhalten:</w:t>
      </w:r>
    </w:p>
    <w:p>
      <w:r>
        <w:t xml:space="preserve">1. Lehrkräfte für die jeweils von ihnen unterrichteten Schülerinnen und Schüler, soweit dies zur Erfüllung ihrer Aufgaben erforderlich ist,</w:t>
      </w:r>
    </w:p>
    <w:p>
      <w:r>
        <w:t xml:space="preserve">2. die Schulleitung, soweit dies zur Erfüllung ihrer pädagogischen, organisatorischen und rechtlichen Aufgaben erforderlich ist,</w:t>
      </w:r>
    </w:p>
    <w:p>
      <w:r>
        <w:t xml:space="preserve">3. Beratungslehrkräfte und Schulpsychologen, soweit dies zur Erfüllung ihrer pädagogisch-psychologischen und rechtlichen Aufgaben im Rahmen der Schulberatung erforderlich ist.</w:t>
      </w:r>
    </w:p>
    <w:p>
      <w:r>
        <w:t xml:space="preserve">Nach Beendigung des Schulbesuchs darf Zugriff auf die Schülerunterlagen nur die Schulleitung im konkreten Einzelfall erhalten, soweit dies zur Erfüllung ihrer rechtlichen Aufgaben erforderlich ist oder die Betroffenen eingewilligt haben.</w:t>
      </w:r>
    </w:p>
    <w:p>
      <w:r>
        <w:t xml:space="preserve">(3) Die Einwilligung ist von der volljährigen Schülerin oder dem volljährigen Schüler, bei minderjährigen Schülerinnen und Schülern von deren Erziehungsberechtigten sowie – ab Vollendung des 14. Lebensjahres – zusätzlich von der Schülerin oder dem Schüler schriftlich zu erteilen und muss sich auf einen konkret benannten Zweck, wie etwa den Nachweis beruflicher Qualifikationen oder die Belegung sozialversicherungsrechtlicher Ansprüche, beziehen.</w:t>
      </w:r>
    </w:p>
    <w:p>
      <w:r>
        <w:rPr>
          <w:color w:val="555555"/>
          <w:sz w:val="17"/>
        </w:rPr>
        <w:t xml:space="preserve">Zitiervorschlag: § 38 BaySchO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https://recht.nulegal.eu/gesetze/BaySchO/38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