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BaySchO (Bayern) — Notenschutz</w:t>
      </w:r>
    </w:p>
    <w:p>
      <w:r>
        <w:rPr>
          <w:color w:val="555555"/>
          <w:sz w:val="18"/>
        </w:rPr>
        <w:t xml:space="preserve">Bayerische 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Notenschutz wird ausschließlich bei den in den Abs. 2 bis 7 genannten Beeinträchtigungen und Formen und nur unter den weiteren Voraussetzungen des Art. 52 Abs. 5 Satz 2 bis 4 BayEUG gewährt. Er erstreckt sich auf die Bewertung von einzelnen Leistungsnachweisen, die Bildung von Noten in Zeugnissen, die Bewertung der Leistungen in Abschlussprüfungen und die Festsetzung der Gesamtnote. § 33 Abs. 2 gilt entsprechend.</w:t>
      </w:r>
    </w:p>
    <w:p>
      <w:r>
        <w:t xml:space="preserve">(2) Bei körperlich-motorischer Beeinträchtigung ist es zulässig,</w:t>
      </w:r>
    </w:p>
    <w:p>
      <w:r>
        <w:t xml:space="preserve">1. in allen Fächern auf Prüfungsteile, die auf Grund der Beeinträchtigung nicht erbracht werden können, und</w:t>
      </w:r>
    </w:p>
    <w:p>
      <w:r>
        <w:t xml:space="preserve">2. an beruflichen Schulen auf die Bewertung der Anschlag- und Schreibgeschwindigkeit</w:t>
      </w:r>
    </w:p>
    <w:p>
      <w:r>
        <w:t xml:space="preserve">zu verzichten.</w:t>
      </w:r>
    </w:p>
    <w:p>
      <w:r>
        <w:t xml:space="preserve">(3) Bei Mutismus und vergleichbarer Sprachbehinderung sowie Autismus mit kommunikativer Sprachstörung ist es zulässig, in allen Fächern auf mündliche Leistungen oder Prüfungsteile, die ein Sprechen voraussetzen, zu verzichten.</w:t>
      </w:r>
    </w:p>
    <w:p>
      <w:r>
        <w:t xml:space="preserve">(4) Bei Hörschädigung ist es zulässig,</w:t>
      </w:r>
    </w:p>
    <w:p>
      <w:r>
        <w:t xml:space="preserve">1. auf mündliche Präsentationen zu verzichten oder diese geringer zu gewichten,</w:t>
      </w:r>
    </w:p>
    <w:p>
      <w:r>
        <w:t xml:space="preserve">2. auf die Bewertung des Diktats sowie der Rechtschreibung und der Grammatik zu verzichten, soweit sie bei Leistungsnachweisen Bewertungsgegenstand sind,</w:t>
      </w:r>
    </w:p>
    <w:p>
      <w:r>
        <w:t xml:space="preserve">3. bei Fremdsprachen auf Prüfungen zum Hörverstehen, Hör-Seh-Verstehen und zur Sprechfertigkeit zu verzichten und</w:t>
      </w:r>
    </w:p>
    <w:p>
      <w:r>
        <w:t xml:space="preserve">4. in musischen Fächern auf Prüfungsteile, die ein Hören voraussetzen, zu verzichten.</w:t>
      </w:r>
    </w:p>
    <w:p>
      <w:r>
        <w:t xml:space="preserve">Sofern Lehrkräfte mit Gebärdensprachkompetenz oder Gebärdensprachdolmetscher einbezogen sind, ist es außerdem zulässig,</w:t>
      </w:r>
    </w:p>
    <w:p>
      <w:r>
        <w:t xml:space="preserve">1. dass sie bei schriftlichen Arbeiten Aufgabentexte gebärden und</w:t>
      </w:r>
    </w:p>
    <w:p>
      <w:r>
        <w:t xml:space="preserve">2. dass die Betroffenen vollständig oder überwiegend mündlichen Beitrag durch Gebärdensprache erbringen.</w:t>
      </w:r>
    </w:p>
    <w:p>
      <w:r>
        <w:t xml:space="preserve">Abs. 3 bleibt unberührt.</w:t>
      </w:r>
    </w:p>
    <w:p>
      <w:r>
        <w:t xml:space="preserve">(5) Bei Blindheit oder sonstiger Sehschädigung ist es zulässig, in allen Fächern auf Prüfungsteile, die ein Sehen voraussetzen, zu verzichten.</w:t>
      </w:r>
    </w:p>
    <w:p>
      <w:r>
        <w:t xml:space="preserve">(6) Bei Lesestörung ist es zulässig, in den Fächern Deutsch, Deutsch als Zweitsprache und in Fremdsprachen auf die Bewertung des Vorlesens zu verzichten.</w:t>
      </w:r>
    </w:p>
    <w:p>
      <w:r>
        <w:t xml:space="preserve">(7) Bei Rechtschreibstörung ist es zulässig, auf die Bewertung der Rechtschreibleistung zu verzichten.</w:t>
      </w:r>
    </w:p>
    <w:p>
      <w:r>
        <w:rPr>
          <w:color w:val="555555"/>
          <w:sz w:val="17"/>
        </w:rPr>
        <w:t xml:space="preserve">Zitiervorschlag: § 34 BaySchO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https://recht.nulegal.eu/gesetze/BaySchO/34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