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33 BaySchO (Bayern) — Nachteilsausgleich</w:t>
      </w:r>
    </w:p>
    <w:p>
      <w:r>
        <w:rPr>
          <w:color w:val="555555"/>
          <w:sz w:val="18"/>
        </w:rPr>
        <w:t xml:space="preserve">Bayerische Schulordnung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Nachteilsausgleich im Sinne des Art. 52 Abs. 5 Satz 1 BayEUG muss die für alle Prüflinge geltenden wesentlichen Leistungsanforderungen wahren, die sich aus den allgemeinen Lernzielen und zu erwerbenden Kompetenzen der jeweils besuchten Schulart und Jahrgangsstufe ergeben, und ist auf die Leistungsfeststellung begrenzt. An beruflichen Schulen kann ein Nachteilsausgleich nicht gewährt werden, soweit ein Leistungsnachweis in einem sachlichen Zusammenhang mit der durch die Prüfung zu ermittelnden Eignung für einen bestimmten Beruf oder eine bestimmte Ausbildung steht.</w:t>
      </w:r>
    </w:p>
    <w:p>
      <w:r>
        <w:t xml:space="preserve">(2) Nachteilsausgleich kann nur Schülerinnen oder Schülern gewährt werden, die nach den lehrplanmäßigen Anforderungen einer allgemein bildenden oder beruflichen Schule unterrichtet werden. Bei nicht dauernd vorliegenden Beeinträchtigungen, insbesondere vorübergehender Krankheit, sind Schülerinnen und Schüler regelmäßig auf einen Nachtermin zu verweisen.</w:t>
      </w:r>
    </w:p>
    <w:p>
      <w:r>
        <w:t xml:space="preserve">(3) Zulässig ist es insbesondere</w:t>
      </w:r>
    </w:p>
    <w:p>
      <w:r>
        <w:t xml:space="preserve">1. die Arbeitszeit um bis zu ein Viertel, in Ausnahmefällen bis zur Hälfte der normalen Arbeitszeit zu verlängern,</w:t>
      </w:r>
    </w:p>
    <w:p>
      <w:r>
        <w:t xml:space="preserve">2. methodisch-didaktische Hilfen einschließlich Strukturierungshilfen einzusetzen, einzelne schriftliche Aufgabenstellungen zusätzlich vorzulesen und die Aufgaben differenziert zu stellen und zu gestalten,</w:t>
      </w:r>
    </w:p>
    <w:p>
      <w:r>
        <w:t xml:space="preserve">3. einzelne mündliche durch schriftliche Leistungsfeststellungen und umgekehrt zu ersetzen, mündliche Prüfungsteile durch schriftliche Ausarbeitungen zu ergänzen sowie mündliche und schriftliche Arbeitsformen individuell zu gewichten, sofern keine bestimmte Form der Leistungserhebung und Gewichtung in den Schulordnungen vorgegeben ist,</w:t>
      </w:r>
    </w:p>
    <w:p>
      <w:r>
        <w:t xml:space="preserve">4. praktische Leistungsnachweise entsprechend der Beeinträchtigung auszuwählen,</w:t>
      </w:r>
    </w:p>
    <w:p>
      <w:r>
        <w:t xml:space="preserve">5. spezielle Arbeitsmittel zuzulassen,</w:t>
      </w:r>
    </w:p>
    <w:p>
      <w:r>
        <w:t xml:space="preserve">6. Leistungsnachweise und Prüfungen in gesonderten Räumen abzuhalten,</w:t>
      </w:r>
    </w:p>
    <w:p>
      <w:r>
        <w:t xml:space="preserve">7. zusätzliche Pausen zu gewähren,</w:t>
      </w:r>
    </w:p>
    <w:p>
      <w:r>
        <w:t xml:space="preserve">8. größere Exaktheitstoleranz, beispielsweise in Geometrie, beim Schriftbild oder in zeichnerischen Aufgabenstellungen, zu gewähren,</w:t>
      </w:r>
    </w:p>
    <w:p>
      <w:r>
        <w:t xml:space="preserve">9. in Fällen besonders schwerer Beeinträchtigung eine Schreibkraft zuzulassen sowie</w:t>
      </w:r>
    </w:p>
    <w:p>
      <w:r>
        <w:t xml:space="preserve">10. bestimmte Formen der Unterstützung, die der Schülerin oder dem Schüler durch eine Begleitperson gewährt werden, zuzulassen.</w:t>
      </w:r>
    </w:p>
    <w:p>
      <w:r>
        <w:t xml:space="preserve">In den Fällen der Nrn. 9 und 10 gilt eine inhaltliche Unterstützung als Unterschleif.</w:t>
      </w:r>
    </w:p>
    <w:p>
      <w:r>
        <w:rPr>
          <w:color w:val="555555"/>
          <w:sz w:val="17"/>
        </w:rPr>
        <w:t xml:space="preserve">Zitiervorschlag: § 33 BaySchO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https://recht.nulegal.eu/gesetze/BaySchO/33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