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BaySchO (Bayern) — Beendigung des Schulbesuchs</w:t>
      </w:r>
    </w:p>
    <w:p>
      <w:r>
        <w:rPr>
          <w:color w:val="555555"/>
          <w:sz w:val="18"/>
        </w:rPr>
        <w:t xml:space="preserve">Bayerische 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Erklärung über den Schulaustritt nach Art. 55 BayEUG bedarf der Textform. Sie erfolgt nach Eintritt der Volljährigkeit durch die Schülerin oder den Schüler selbst, im Übrigen durch einen Erziehungsberechtigten.</w:t>
      </w:r>
    </w:p>
    <w:p>
      <w:r>
        <w:t xml:space="preserve">(2) Der Austritt lässt das einmal erworbene Recht zum Vorrücken unberührt. Ein späterer Eintritt in die nächsthöhere Jahrgangsstufe ist nur unter entsprechender Beachtung der Bestimmungen über die Altersgrenze möglich. Dies gilt mit Ausnahme der Wirtschaftsschulen nicht für berufliche Schulen.</w:t>
      </w:r>
    </w:p>
    <w:p>
      <w:r>
        <w:t xml:space="preserve">(3) Bei den Schülerinnen und Schülern öffentlicher Heimschulen, die nicht als Externe aufgenommen sind, endet der Schulbesuch unbeschadet des Art. 55 BayEUG mit der Beendigung ihrer Zugehörigkeit zum Heim, es sei denn, die Schulleiterin oder der Schulleiter gestattet die Fortsetzung des Schulverhältnisses.</w:t>
      </w:r>
    </w:p>
    <w:p>
      <w:r>
        <w:t xml:space="preserve">(4) Die Leitung der zuletzt besuchten Schule hat die Erfüllung der Schulpflicht zu überprüfen und bei Vorliegen der Vollzeitschulpflicht das zuständige Staatliche Schulamt, bei Vorliegen der Berufsschulpflicht die zuständige oder nächstgelegene Berufsschule zu verständigen.</w:t>
      </w:r>
    </w:p>
    <w:p>
      <w:r>
        <w:rPr>
          <w:color w:val="555555"/>
          <w:sz w:val="17"/>
        </w:rPr>
        <w:t xml:space="preserve">Zitiervorschlag: § 30 BaySchO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