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BaySchO (Bayern) — Aufgaben</w:t>
      </w:r>
    </w:p>
    <w:p>
      <w:r>
        <w:rPr>
          <w:color w:val="555555"/>
          <w:sz w:val="18"/>
        </w:rPr>
        <w:t xml:space="preserve">Bayerische 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Lehrerkonferenz beschließt im Rahmen ihrer Aufgaben nach Art. 58 Abs. 3 und 4 BayEUG auch über</w:t>
      </w:r>
    </w:p>
    <w:p>
      <w:r>
        <w:t xml:space="preserve">1. Widersprüche gegen Verwaltungsakte mit Ausnahme von Widersprüchen gegen Verwaltungsakte an Grundschulen, Mittelschulen und Förderschulen,</w:t>
      </w:r>
    </w:p>
    <w:p>
      <w:r>
        <w:t xml:space="preserve">2. Beschwerden von grundsätzlicher Bedeutung gegen allgemeine Unterrichts- und Erziehungsmaßnahmen der Schule mit Ausnahme von Aufsichtsbeschwerden gegen die Schule und von Dienstaufsichtsbeschwerden,</w:t>
      </w:r>
    </w:p>
    <w:p>
      <w:r>
        <w:t xml:space="preserve">3. sonstige Schulveranstaltungen, die die gesamte Schule betreffen.</w:t>
      </w:r>
    </w:p>
    <w:p>
      <w:r>
        <w:rPr>
          <w:color w:val="555555"/>
          <w:sz w:val="17"/>
        </w:rPr>
        <w:t xml:space="preserve">Zitiervorschlag: § 3 BaySchO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https://recht.nulegal.eu/gesetze/BaySchO/3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