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BaySchO (Bayern) — Hausaufgaben</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Um den Lehrstoff einzuüben und die Schülerinnen und Schüler zu eigener Tätigkeit anzuregen, werden Hausaufgaben gestellt, die bei durchschnittlichem Leistungsvermögen in angemessener Zeit unter Berücksichtigung der Anforderungen des Nachmittagsunterrichts sowie der Inanspruchnahme durch die praktische Ausbildung an beruflichen Schulen bearbeitet werden können. Die Lehrerkonferenz legt vor Unterrichtsbeginn des Schuljahres die Grundsätze für die Hausaufgaben fest. Sonntage, Feiertage und Ferien sind von Hausaufgaben freizuhalten.</w:t>
      </w:r>
    </w:p>
    <w:p>
      <w:r>
        <w:t xml:space="preserve">(2) An Grundschulen und Grundschulstufen der Förderschulen gilt eine Zeit von bis zu einer Stunde als angemessen. An Förderschulen ist auch die individuelle Leistungsfähigkeit der einzelnen Schülerin oder des einzelnen Schülers zu berücksichtigen. An Tagen mit verpflichtendem Nachmittagsunterricht werden an Grundschulen und Förderschulen keine schriftlichen Hausaufgaben für den nächsten Tag gestellt; hiervon kann im Einvernehmen mit dem Elternbeirat abgewichen werden.</w:t>
      </w:r>
    </w:p>
    <w:p>
      <w:r>
        <w:rPr>
          <w:color w:val="555555"/>
          <w:sz w:val="17"/>
        </w:rPr>
        <w:t xml:space="preserve">Zitiervorschlag: § 28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https://recht.nulegal.eu/gesetze/BaySchO/28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