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BaySchO (Bayern) — Einsatz digitaler Hilfsmittel</w:t>
      </w:r>
    </w:p>
    <w:p>
      <w:r>
        <w:rPr>
          <w:color w:val="555555"/>
          <w:sz w:val="18"/>
        </w:rPr>
        <w:t xml:space="preserve">Bayerische 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Beratung und die Beschlussfassungen schulischer Gremien können durch Einbeziehung digitaler oder fernmündlicher Hilfsmittel organisiert werden, wenn</w:t>
      </w:r>
    </w:p>
    <w:p>
      <w:r>
        <w:t xml:space="preserve">1. die Wahrnehmung der Rechte aller stimmberechtigter oder beratender Mitglieder gewährleistet ist,</w:t>
      </w:r>
    </w:p>
    <w:p>
      <w:r>
        <w:t xml:space="preserve">2. sichergestellt ist, dass Dritte vom Inhalt der Sitzung keine Kenntnis nehmen können und</w:t>
      </w:r>
    </w:p>
    <w:p>
      <w:r>
        <w:t xml:space="preserve">3. das eingesetzte elektronische Verfahren nach Zweck, Umfang und Art den in Anlage 1 Abschnitt 3 geregelten Vorgaben entspricht.</w:t>
      </w:r>
    </w:p>
    <w:p>
      <w:r>
        <w:rPr>
          <w:color w:val="555555"/>
          <w:sz w:val="17"/>
        </w:rPr>
        <w:t xml:space="preserve">Zitiervorschlag: § 18a BaySchO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https://recht.nulegal.eu/gesetze/BaySchO/18a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