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BaySchO (Bayern) — Schülermitverantwortung auf Stadt-, Landkreis-, Bezirks- und Landesebene, schulübergreifende Zusammenarbeit</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Schülersprecherinnen und Schülersprecher an Mittelschulen wählen spätestens drei Wochen nach ihrer Wahl aus ihrer Mitte für die jeweilige Stadt bzw. den jeweiligen Landkreis je eine Stadt- bzw. Landkreisschülersprecherin oder einen Stadt- bzw. Landkreisschülersprecher und jeweils einen Stellvertreter. Die Amtszeit beträgt jeweils ein Jahr. Über das Wahlverfahren entscheiden die jeweiligen Schülersprecherinnen und Schülersprecher im Einvernehmen mit der Schulaufsichtsbehörde.</w:t>
      </w:r>
    </w:p>
    <w:p>
      <w:r>
        <w:t xml:space="preserve">(2) Die Wahl der Bezirksschülersprecherinnen und Bezirksschülersprecher nach Art. 62 Abs. 6 BayEUG findet statt</w:t>
      </w:r>
    </w:p>
    <w:p>
      <w:r>
        <w:t xml:space="preserve">1. im Bereich der Mittelschulen spätestens drei Wochen nach der Wahl der Stadt- und Landkreisschülersprecherinnen und der Stadt- und Landkreisschülersprecher nach Abs. 1,</w:t>
      </w:r>
    </w:p>
    <w:p>
      <w:r>
        <w:t xml:space="preserve">2. im Bereich der Gymnasien, Realschulen, Förderschulen und beruflichen Schulen spätestens einen Monat nach der Wahl der Schülersprecherinnen und Schülersprecher oder der Sprecherinnen und Sprecher der Studierenden.</w:t>
      </w:r>
    </w:p>
    <w:p>
      <w:r>
        <w:t xml:space="preserve">Abs. 1 Satz 2 und 3, Abs. 4 sowie § 8 Abs. 4 Satz 1 gelten entsprechend.</w:t>
      </w:r>
    </w:p>
    <w:p>
      <w:r>
        <w:t xml:space="preserve">(3) Für die Durchführung der Wahlen, den Erfahrungsaustausch und die Erörterung von Wünschen und Anregungen richten die Schulaufsichtsbehörden für ihren jeweiligen Zuständigkeitsbereich – mit Ausnahme auf Schulamtsebene im Bereich der Förderschulen – jeweils Aussprachetagungen für die jeweiligen Schülervertretungen nach den Abs. 1 und 2 ein, an welchen die Verbindungslehrkräfte teilnehmen sollen, soweit dies erforderlich ist. Die jeweiligen Schülervertretungen nach den Abs. 1 und 2 übernehmen unbeschadet der Gesamtleitung durch die Schulaufsichtsbehörde den Vorsitz und geben Informationen an die nachgeordneten Schülervertretungen mit Zustimmung der Schulaufsichtsbehörde weiter. Aussprachetagungen können auch zum Erfahrungsaustausch für Mitglieder von Schülerzeitungen durchgeführt werden.</w:t>
      </w:r>
    </w:p>
    <w:p>
      <w:r>
        <w:t xml:space="preserve">(4) Im Fall eines vorzeitigen Ausscheidens einer Landesschülersprecherin oder eines Landesschülersprechers übernimmt die entsprechende Stellvertretung für die restliche Dauer der Amtszeit das Amt. Im Fall des Satzes 1 sowie bei vorzeitigem Ausscheiden der Stellvertretung rücken die Ersatzpersonen in der Reihenfolge ihrer Stimmenzahlen nach. Die ausgeschiedenen Landesschülersprecherinnen oder Landesschülersprecher sowie Stellvertretungen können den Landesschülerrat weiterhin beraten.</w:t>
      </w:r>
    </w:p>
    <w:p>
      <w:r>
        <w:t xml:space="preserve">(5) Die Schülervertretungen oder die Studierendenvertretungen mehrerer Schulen können gemeinsame sonstige Schulveranstaltungen durchführen oder auf andere Weise zusammenarbeiten. Soweit Berufsfachschulen für Ernährung und Versorgung oder für Kinderpflege und Sozialpflege organisatorisch und räumlich miteinander verbunden sind, kann auf Antrag der Schule mit Genehmigung der Schulaufsichtsbehörde eine gemeinsame Schülermitverantwortung gebildet werden. Im Übrigen sind Zusammenschlüsse von Schülervertretungen mehrerer Schulen unzulässig.</w:t>
      </w:r>
    </w:p>
    <w:p>
      <w:r>
        <w:rPr>
          <w:color w:val="555555"/>
          <w:sz w:val="17"/>
        </w:rPr>
        <w:t xml:space="preserve">Zitiervorschlag: § 11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