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BaySchFG (Bayern) — Vollzug des Gesetzes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Schulaufsichtsbehörden überwachen den Vollzug dieses Gesetzes. Die Vorschriften über die Rechtsaufsicht bleiben unberührt.</w:t>
      </w:r>
    </w:p>
    <w:p>
      <w:r>
        <w:t xml:space="preserve">(2) Die Träger von Ersatzschulen sind verpflichtet, den Schulaufsichtsbehörden auf Verlangen Auskunft über ihre Aufwendungen für den Schulbetrieb zu erteilen und Nachweise über diese Aufwendungen vorzulegen.</w:t>
      </w:r>
    </w:p>
    <w:p>
      <w:r>
        <w:rPr>
          <w:color w:val="555555"/>
          <w:sz w:val="17"/>
        </w:rPr>
        <w:t xml:space="preserve">Zitiervorschlag: Art 59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