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58 BaySchFG (Bayern) — Staatsverträge</w:t>
      </w:r>
    </w:p>
    <w:p>
      <w:r>
        <w:rPr>
          <w:color w:val="555555"/>
          <w:sz w:val="18"/>
        </w:rPr>
        <w:t xml:space="preserve">Bayerisches Schulfinanzierungsgesetz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Unberührt bleiben die Bestimmungen auf Grund von Staatsverträgen, insbesondere die Bestimmungen des Bayerischen Konkordats mit dem Heiligen Stuhl vom 29. März 1924 und des Vertrags zwischen dem Bayerischen Staat und der Evangelisch-Lutherischen Kirche in Bayern rechts des Rheins vom 15. November 1924 in der jeweils geltenden Fassung.</w:t>
      </w:r>
    </w:p>
    <w:p>
      <w:r>
        <w:rPr>
          <w:color w:val="555555"/>
          <w:sz w:val="17"/>
        </w:rPr>
        <w:t xml:space="preserve">Zitiervorschlag: Art 58 BaySchFG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https://recht.nulegal.eu/gesetze/BaySchFG/58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